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AtlasKicker"/>
        <w:keepNext/>
      </w:pPr>
      <w:r>
        <w:t>BUYER PROCUREMENT TOOL</w:t>
      </w:r>
    </w:p>
    <w:p>
      <w:pPr>
        <w:pStyle w:val="Title"/>
        <w:keepNext/>
      </w:pPr>
      <w:r>
        <w:t>Compliance software RFP template for gambling</w:t>
      </w:r>
    </w:p>
    <w:p>
      <w:pPr>
        <w:pStyle w:val="AtlasLead"/>
        <w:keepNext/>
      </w:pPr>
      <w:r>
        <w:t>An editable request-for-proposal template for evidence-led vendor comparison.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76" w:lineRule="auto"/>
            </w:pPr>
            <w:r>
              <w:rPr>
                <w:rFonts w:ascii="Calibri" w:hAnsi="Calibri"/>
                <w:b/>
                <w:color w:val="0B1738"/>
                <w:sz w:val="19"/>
              </w:rPr>
              <w:t>Document detail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E8EEF5"/>
          </w:tcPr>
          <w:p>
            <w:pPr>
              <w:spacing w:before="0" w:after="0" w:line="276" w:lineRule="auto"/>
            </w:pPr>
            <w:r>
              <w:rPr>
                <w:rFonts w:ascii="Calibri" w:hAnsi="Calibri"/>
                <w:b/>
                <w:color w:val="0B1738"/>
                <w:sz w:val="19"/>
              </w:rPr>
              <w:t>Value</w:t>
            </w:r>
          </w:p>
        </w:tc>
      </w:tr>
      <w:tr>
        <w:trPr/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76" w:lineRule="auto"/>
            </w:pPr>
            <w:r>
              <w:rPr>
                <w:rFonts w:ascii="Calibri" w:hAnsi="Calibri"/>
                <w:b/>
                <w:color w:val="0B1738"/>
                <w:sz w:val="19"/>
              </w:rPr>
              <w:t>Version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76" w:lineRule="auto"/>
            </w:pPr>
            <w:r>
              <w:rPr>
                <w:rFonts w:ascii="Calibri" w:hAnsi="Calibri"/>
                <w:b w:val="0"/>
                <w:color w:val="455B74"/>
                <w:sz w:val="20"/>
              </w:rPr>
              <w:t>25 August 2026</w:t>
            </w:r>
          </w:p>
        </w:tc>
      </w:tr>
      <w:tr>
        <w:trPr/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76" w:lineRule="auto"/>
            </w:pPr>
            <w:r>
              <w:rPr>
                <w:rFonts w:ascii="Calibri" w:hAnsi="Calibri"/>
                <w:b/>
                <w:color w:val="0B1738"/>
                <w:sz w:val="19"/>
              </w:rPr>
              <w:t>Publisher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76" w:lineRule="auto"/>
            </w:pPr>
            <w:r>
              <w:rPr>
                <w:rFonts w:ascii="Calibri" w:hAnsi="Calibri"/>
                <w:b w:val="0"/>
                <w:color w:val="455B74"/>
                <w:sz w:val="20"/>
              </w:rPr>
              <w:t>Atlas by Pimlico</w:t>
            </w:r>
          </w:p>
        </w:tc>
      </w:tr>
      <w:tr>
        <w:trPr/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76" w:lineRule="auto"/>
            </w:pPr>
            <w:r>
              <w:rPr>
                <w:rFonts w:ascii="Calibri" w:hAnsi="Calibri"/>
                <w:b/>
                <w:color w:val="0B1738"/>
                <w:sz w:val="19"/>
              </w:rPr>
              <w:t>Licence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76" w:lineRule="auto"/>
            </w:pPr>
            <w:r>
              <w:rPr>
                <w:rFonts w:ascii="Calibri" w:hAnsi="Calibri"/>
                <w:b w:val="0"/>
                <w:color w:val="455B74"/>
                <w:sz w:val="20"/>
              </w:rPr>
              <w:t>You may copy and adapt this template for your own procurement.</w:t>
            </w:r>
          </w:p>
        </w:tc>
      </w:tr>
      <w:tr>
        <w:trPr/>
        <w:tc>
          <w:tcPr>
            <w:tcW w:type="dxa" w:w="2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76" w:lineRule="auto"/>
            </w:pPr>
            <w:r>
              <w:rPr>
                <w:rFonts w:ascii="Calibri" w:hAnsi="Calibri"/>
                <w:b/>
                <w:color w:val="0B1738"/>
                <w:sz w:val="19"/>
              </w:rPr>
              <w:t>Companion tool</w:t>
            </w:r>
          </w:p>
        </w:tc>
        <w:tc>
          <w:tcPr>
            <w:tcW w:type="dxa" w:w="6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FFF"/>
          </w:tcPr>
          <w:p>
            <w:pPr>
              <w:spacing w:before="0" w:after="0" w:line="276" w:lineRule="auto"/>
            </w:pPr>
            <w:hyperlink r:id="rId11">
              <w:r>
                <w:rPr>
                  <w:color w:val="315F8F"/>
                  <w:u w:val="single"/>
                </w:rPr>
                <w:t>Open the Atlas evaluation scorecard guide</w:t>
              </w:r>
            </w:hyperlink>
          </w:p>
        </w:tc>
      </w:tr>
    </w:tbl>
    <w:p>
      <w:pPr>
        <w:spacing w:after="0"/>
      </w:pPr>
    </w:p>
    <w:p>
      <w:pPr w:contextualSpacing="0">
        <w:pStyle w:val="AtlasLead"/>
        <w:shd w:fill="F4F7FB"/>
        <w:spacing w:before="160" w:after="280"/>
        <w:ind w:left="202" w:right="202"/>
      </w:pPr>
      <w:r>
        <w:t>Use this free request-for-proposal template to compare security and compliance, evidence, vendor support, implementation, pricing and exit across one common scope.</w:t>
      </w:r>
    </w:p>
    <w:p>
      <w:pPr>
        <w:pStyle w:val="Heading1"/>
      </w:pPr>
      <w:r>
        <w:t>How to use this template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455B74"/>
        </w:rPr>
        <w:t>Delete requirements that do not apply to your operating perimeter.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455B74"/>
        </w:rPr>
        <w:t>Add the exact markets, entities, products, licences, activities and languages in scope.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455B74"/>
        </w:rPr>
        <w:t>Weight requirements and identify mandatory pass/fail conditions before suppliers respond.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455B74"/>
        </w:rPr>
        <w:t xml:space="preserve">Require one response classification for every item: </w:t>
      </w:r>
      <w:r>
        <w:rPr>
          <w:rFonts w:ascii="Consolas" w:hAnsi="Consolas"/>
          <w:b/>
          <w:color w:val="0B1738"/>
          <w:sz w:val="19"/>
        </w:rPr>
        <w:t>Available now</w:t>
      </w:r>
      <w:r>
        <w:rPr>
          <w:rFonts w:ascii="Calibri" w:hAnsi="Calibri"/>
          <w:color w:val="455B74"/>
        </w:rPr>
        <w:t xml:space="preserve">, </w:t>
      </w:r>
      <w:r>
        <w:rPr>
          <w:rFonts w:ascii="Consolas" w:hAnsi="Consolas"/>
          <w:b/>
          <w:color w:val="0B1738"/>
          <w:sz w:val="19"/>
        </w:rPr>
        <w:t>Configurable</w:t>
      </w:r>
      <w:r>
        <w:rPr>
          <w:rFonts w:ascii="Calibri" w:hAnsi="Calibri"/>
          <w:color w:val="455B74"/>
        </w:rPr>
        <w:t xml:space="preserve">, </w:t>
      </w:r>
      <w:r>
        <w:rPr>
          <w:rFonts w:ascii="Consolas" w:hAnsi="Consolas"/>
          <w:b/>
          <w:color w:val="0B1738"/>
          <w:sz w:val="19"/>
        </w:rPr>
        <w:t>Requires services</w:t>
      </w:r>
      <w:r>
        <w:rPr>
          <w:rFonts w:ascii="Calibri" w:hAnsi="Calibri"/>
          <w:color w:val="455B74"/>
        </w:rPr>
        <w:t xml:space="preserve">, </w:t>
      </w:r>
      <w:r>
        <w:rPr>
          <w:rFonts w:ascii="Consolas" w:hAnsi="Consolas"/>
          <w:b/>
          <w:color w:val="0B1738"/>
          <w:sz w:val="19"/>
        </w:rPr>
        <w:t>Third-party</w:t>
      </w:r>
      <w:r>
        <w:rPr>
          <w:rFonts w:ascii="Calibri" w:hAnsi="Calibri"/>
          <w:color w:val="455B74"/>
        </w:rPr>
        <w:t xml:space="preserve">, </w:t>
      </w:r>
      <w:r>
        <w:rPr>
          <w:rFonts w:ascii="Consolas" w:hAnsi="Consolas"/>
          <w:b/>
          <w:color w:val="0B1738"/>
          <w:sz w:val="19"/>
        </w:rPr>
        <w:t>Planned</w:t>
      </w:r>
      <w:r>
        <w:rPr>
          <w:rFonts w:ascii="Calibri" w:hAnsi="Calibri"/>
          <w:color w:val="455B74"/>
        </w:rPr>
        <w:t xml:space="preserve">, or </w:t>
      </w:r>
      <w:r>
        <w:rPr>
          <w:rFonts w:ascii="Consolas" w:hAnsi="Consolas"/>
          <w:b/>
          <w:color w:val="0B1738"/>
          <w:sz w:val="19"/>
        </w:rPr>
        <w:t>Not available</w:t>
      </w:r>
      <w:r>
        <w:rPr>
          <w:rFonts w:ascii="Calibri" w:hAnsi="Calibri"/>
          <w:color w:val="455B74"/>
        </w:rPr>
        <w:t>.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455B74"/>
        </w:rPr>
        <w:t>Require supporting evidence and price assumptions for every response.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455B74"/>
        </w:rPr>
        <w:t>Give every shortlisted supplier the same live scenarios, inputs, preparation time and success criteria.</w:t>
      </w:r>
    </w:p>
    <w:p>
      <w:pPr>
        <w:numPr>
          <w:ilvl w:val="0"/>
          <w:numId w:val="10"/>
        </w:numPr>
        <w:spacing w:after="80" w:line="300" w:lineRule="auto"/>
      </w:pPr>
      <w:r>
        <w:rPr>
          <w:rFonts w:ascii="Calibri" w:hAnsi="Calibri"/>
          <w:color w:val="455B74"/>
        </w:rPr>
        <w:t>Keep product capability, implementation work and future roadmap promises separate.</w:t>
      </w:r>
    </w:p>
    <w:p>
      <w:r>
        <w:br w:type="page"/>
      </w:r>
    </w:p>
    <w:p>
      <w:pPr>
        <w:pStyle w:val="Heading1"/>
      </w:pPr>
      <w:r>
        <w:t>Mistakes to avoid before issuing the RFP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/>
          <w:color w:val="455B74"/>
        </w:rPr>
        <w:t>Accepting yes or no without a response classification and supporting proof.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/>
          <w:color w:val="455B74"/>
        </w:rPr>
        <w:t>Leaving security and compliance evidence until after the preferred supplier is chosen.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/>
          <w:color w:val="455B74"/>
        </w:rPr>
        <w:t>Treating vendor support, implementation services and product capability as the same thing.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/>
          <w:color w:val="455B74"/>
        </w:rPr>
        <w:t>Comparing annual licence prices without one common three-year scope and assumptions.</w:t>
      </w:r>
    </w:p>
    <w:p>
      <w:pPr>
        <w:numPr>
          <w:ilvl w:val="0"/>
          <w:numId w:val="11"/>
        </w:numPr>
        <w:spacing w:after="80" w:line="300" w:lineRule="auto"/>
      </w:pPr>
      <w:r>
        <w:rPr>
          <w:rFonts w:ascii="Calibri" w:hAnsi="Calibri"/>
          <w:color w:val="455B74"/>
        </w:rPr>
        <w:t>Skipping data return, transition support, deletion evidence and the complete exit test.</w:t>
      </w:r>
    </w:p>
    <w:p>
      <w:pPr>
        <w:pStyle w:val="Heading1"/>
      </w:pPr>
      <w:r>
        <w:t>1. Buyer context and operating perimeter</w:t>
      </w:r>
    </w:p>
    <w:p>
      <w:pPr>
        <w:numPr>
          <w:ilvl w:val="0"/>
          <w:numId w:val="12"/>
        </w:numPr>
        <w:spacing w:after="80" w:line="300" w:lineRule="auto"/>
      </w:pPr>
      <w:r>
        <w:rPr>
          <w:rFonts w:ascii="Calibri" w:hAnsi="Calibri"/>
          <w:b/>
          <w:color w:val="0B1738"/>
        </w:rPr>
        <w:t>Legal entities:</w:t>
      </w:r>
      <w:r>
        <w:rPr>
          <w:rFonts w:ascii="Calibri" w:hAnsi="Calibri"/>
          <w:i/>
          <w:color w:val="687C93"/>
        </w:rPr>
        <w:t xml:space="preserve">  [Enter response]</w:t>
      </w:r>
    </w:p>
    <w:p>
      <w:pPr>
        <w:numPr>
          <w:ilvl w:val="0"/>
          <w:numId w:val="12"/>
        </w:numPr>
        <w:spacing w:after="80" w:line="300" w:lineRule="auto"/>
      </w:pPr>
      <w:r>
        <w:rPr>
          <w:rFonts w:ascii="Calibri" w:hAnsi="Calibri"/>
          <w:b/>
          <w:color w:val="0B1738"/>
        </w:rPr>
        <w:t>Regulated activities:</w:t>
      </w:r>
      <w:r>
        <w:rPr>
          <w:rFonts w:ascii="Calibri" w:hAnsi="Calibri"/>
          <w:i/>
          <w:color w:val="687C93"/>
        </w:rPr>
        <w:t xml:space="preserve">  [Enter response]</w:t>
      </w:r>
    </w:p>
    <w:p>
      <w:pPr>
        <w:numPr>
          <w:ilvl w:val="0"/>
          <w:numId w:val="12"/>
        </w:numPr>
        <w:spacing w:after="80" w:line="300" w:lineRule="auto"/>
      </w:pPr>
      <w:r>
        <w:rPr>
          <w:rFonts w:ascii="Calibri" w:hAnsi="Calibri"/>
          <w:b/>
          <w:color w:val="0B1738"/>
        </w:rPr>
        <w:t>Current and planned markets:</w:t>
      </w:r>
      <w:r>
        <w:rPr>
          <w:rFonts w:ascii="Calibri" w:hAnsi="Calibri"/>
          <w:i/>
          <w:color w:val="687C93"/>
        </w:rPr>
        <w:t xml:space="preserve">  [Enter response]</w:t>
      </w:r>
    </w:p>
    <w:p>
      <w:pPr>
        <w:numPr>
          <w:ilvl w:val="0"/>
          <w:numId w:val="12"/>
        </w:numPr>
        <w:spacing w:after="80" w:line="300" w:lineRule="auto"/>
      </w:pPr>
      <w:r>
        <w:rPr>
          <w:rFonts w:ascii="Calibri" w:hAnsi="Calibri"/>
          <w:b/>
          <w:color w:val="0B1738"/>
        </w:rPr>
        <w:t>Product and channel scope:</w:t>
      </w:r>
      <w:r>
        <w:rPr>
          <w:rFonts w:ascii="Calibri" w:hAnsi="Calibri"/>
          <w:i/>
          <w:color w:val="687C93"/>
        </w:rPr>
        <w:t xml:space="preserve">  [Enter response]</w:t>
      </w:r>
    </w:p>
    <w:p>
      <w:pPr>
        <w:numPr>
          <w:ilvl w:val="0"/>
          <w:numId w:val="12"/>
        </w:numPr>
        <w:spacing w:after="80" w:line="300" w:lineRule="auto"/>
      </w:pPr>
      <w:r>
        <w:rPr>
          <w:rFonts w:ascii="Calibri" w:hAnsi="Calibri"/>
          <w:b/>
          <w:color w:val="0B1738"/>
        </w:rPr>
        <w:t>Licence types:</w:t>
      </w:r>
      <w:r>
        <w:rPr>
          <w:rFonts w:ascii="Calibri" w:hAnsi="Calibri"/>
          <w:i/>
          <w:color w:val="687C93"/>
        </w:rPr>
        <w:t xml:space="preserve">  [Enter response]</w:t>
      </w:r>
    </w:p>
    <w:p>
      <w:pPr>
        <w:numPr>
          <w:ilvl w:val="0"/>
          <w:numId w:val="12"/>
        </w:numPr>
        <w:spacing w:after="80" w:line="300" w:lineRule="auto"/>
      </w:pPr>
      <w:r>
        <w:rPr>
          <w:rFonts w:ascii="Calibri" w:hAnsi="Calibri"/>
          <w:b/>
          <w:color w:val="0B1738"/>
        </w:rPr>
        <w:t>Priority technical and player-protection modules:</w:t>
      </w:r>
      <w:r>
        <w:rPr>
          <w:rFonts w:ascii="Calibri" w:hAnsi="Calibri"/>
          <w:i/>
          <w:color w:val="687C93"/>
        </w:rPr>
        <w:t xml:space="preserve">  [Enter response]</w:t>
      </w:r>
    </w:p>
    <w:p>
      <w:pPr>
        <w:numPr>
          <w:ilvl w:val="0"/>
          <w:numId w:val="12"/>
        </w:numPr>
        <w:spacing w:after="80" w:line="300" w:lineRule="auto"/>
      </w:pPr>
      <w:r>
        <w:rPr>
          <w:rFonts w:ascii="Calibri" w:hAnsi="Calibri"/>
          <w:b/>
          <w:color w:val="0B1738"/>
        </w:rPr>
        <w:t>Internal user groups and approximate user count:</w:t>
      </w:r>
      <w:r>
        <w:rPr>
          <w:rFonts w:ascii="Calibri" w:hAnsi="Calibri"/>
          <w:i/>
          <w:color w:val="687C93"/>
        </w:rPr>
        <w:t xml:space="preserve">  [Enter response]</w:t>
      </w:r>
    </w:p>
    <w:p>
      <w:pPr>
        <w:numPr>
          <w:ilvl w:val="0"/>
          <w:numId w:val="12"/>
        </w:numPr>
        <w:spacing w:after="80" w:line="300" w:lineRule="auto"/>
      </w:pPr>
      <w:r>
        <w:rPr>
          <w:rFonts w:ascii="Calibri" w:hAnsi="Calibri"/>
          <w:b/>
          <w:color w:val="0B1738"/>
        </w:rPr>
        <w:t>External users or advisers:</w:t>
      </w:r>
      <w:r>
        <w:rPr>
          <w:rFonts w:ascii="Calibri" w:hAnsi="Calibri"/>
          <w:i/>
          <w:color w:val="687C93"/>
        </w:rPr>
        <w:t xml:space="preserve">  [Enter response]</w:t>
      </w:r>
    </w:p>
    <w:p>
      <w:pPr>
        <w:numPr>
          <w:ilvl w:val="0"/>
          <w:numId w:val="12"/>
        </w:numPr>
        <w:spacing w:after="80" w:line="300" w:lineRule="auto"/>
      </w:pPr>
      <w:r>
        <w:rPr>
          <w:rFonts w:ascii="Calibri" w:hAnsi="Calibri"/>
          <w:b/>
          <w:color w:val="0B1738"/>
        </w:rPr>
        <w:t>Languages:</w:t>
      </w:r>
      <w:r>
        <w:rPr>
          <w:rFonts w:ascii="Calibri" w:hAnsi="Calibri"/>
          <w:i/>
          <w:color w:val="687C93"/>
        </w:rPr>
        <w:t xml:space="preserve">  [Enter response]</w:t>
      </w:r>
    </w:p>
    <w:p>
      <w:pPr>
        <w:numPr>
          <w:ilvl w:val="0"/>
          <w:numId w:val="12"/>
        </w:numPr>
        <w:spacing w:after="80" w:line="300" w:lineRule="auto"/>
      </w:pPr>
      <w:r>
        <w:rPr>
          <w:rFonts w:ascii="Calibri" w:hAnsi="Calibri"/>
          <w:b/>
          <w:color w:val="0B1738"/>
        </w:rPr>
        <w:t>Existing systems and required integrations:</w:t>
      </w:r>
      <w:r>
        <w:rPr>
          <w:rFonts w:ascii="Calibri" w:hAnsi="Calibri"/>
          <w:i/>
          <w:color w:val="687C93"/>
        </w:rPr>
        <w:t xml:space="preserve">  [Enter response]</w:t>
      </w:r>
    </w:p>
    <w:p>
      <w:pPr>
        <w:numPr>
          <w:ilvl w:val="0"/>
          <w:numId w:val="12"/>
        </w:numPr>
        <w:spacing w:after="80" w:line="300" w:lineRule="auto"/>
      </w:pPr>
      <w:r>
        <w:rPr>
          <w:rFonts w:ascii="Calibri" w:hAnsi="Calibri"/>
          <w:b/>
          <w:color w:val="0B1738"/>
        </w:rPr>
        <w:t>Target implementation date:</w:t>
      </w:r>
      <w:r>
        <w:rPr>
          <w:rFonts w:ascii="Calibri" w:hAnsi="Calibri"/>
          <w:i/>
          <w:color w:val="687C93"/>
        </w:rPr>
        <w:t xml:space="preserve">  [Enter response]</w:t>
      </w:r>
    </w:p>
    <w:p>
      <w:pPr>
        <w:numPr>
          <w:ilvl w:val="0"/>
          <w:numId w:val="12"/>
        </w:numPr>
        <w:spacing w:after="80" w:line="300" w:lineRule="auto"/>
      </w:pPr>
      <w:r>
        <w:rPr>
          <w:rFonts w:ascii="Calibri" w:hAnsi="Calibri"/>
          <w:b/>
          <w:color w:val="0B1738"/>
        </w:rPr>
        <w:t>Material retention, security or data-residency constraints:</w:t>
      </w:r>
      <w:r>
        <w:rPr>
          <w:rFonts w:ascii="Calibri" w:hAnsi="Calibri"/>
          <w:i/>
          <w:color w:val="687C93"/>
        </w:rPr>
        <w:t xml:space="preserve">  [Enter response]</w:t>
      </w:r>
    </w:p>
    <w:p>
      <w:pPr>
        <w:pStyle w:val="Heading1"/>
      </w:pPr>
      <w:r>
        <w:t>2. Required supplier response format</w:t>
      </w:r>
    </w:p>
    <w:p>
      <w:r>
        <w:rPr>
          <w:rFonts w:ascii="Calibri" w:hAnsi="Calibri"/>
          <w:color w:val="455B74"/>
        </w:rPr>
        <w:t>For every requirement, provide:</w:t>
      </w:r>
    </w:p>
    <w:p>
      <w:pPr>
        <w:numPr>
          <w:ilvl w:val="0"/>
          <w:numId w:val="13"/>
        </w:numPr>
        <w:spacing w:after="80" w:line="300" w:lineRule="auto"/>
      </w:pPr>
      <w:r>
        <w:rPr>
          <w:rFonts w:ascii="Calibri" w:hAnsi="Calibri"/>
          <w:color w:val="455B74"/>
        </w:rPr>
        <w:t>Response classification.</w:t>
      </w:r>
    </w:p>
    <w:p>
      <w:pPr>
        <w:numPr>
          <w:ilvl w:val="0"/>
          <w:numId w:val="13"/>
        </w:numPr>
        <w:spacing w:after="80" w:line="300" w:lineRule="auto"/>
      </w:pPr>
      <w:r>
        <w:rPr>
          <w:rFonts w:ascii="Calibri" w:hAnsi="Calibri"/>
          <w:color w:val="455B74"/>
        </w:rPr>
        <w:t>Current product or service that performs the work.</w:t>
      </w:r>
    </w:p>
    <w:p>
      <w:pPr>
        <w:numPr>
          <w:ilvl w:val="0"/>
          <w:numId w:val="13"/>
        </w:numPr>
        <w:spacing w:after="80" w:line="300" w:lineRule="auto"/>
      </w:pPr>
      <w:r>
        <w:rPr>
          <w:rFonts w:ascii="Calibri" w:hAnsi="Calibri"/>
          <w:color w:val="455B74"/>
        </w:rPr>
        <w:t>Evidence: screen, export, documentation, contract term, or named customer example.</w:t>
      </w:r>
    </w:p>
    <w:p>
      <w:pPr>
        <w:numPr>
          <w:ilvl w:val="0"/>
          <w:numId w:val="13"/>
        </w:numPr>
        <w:spacing w:after="80" w:line="300" w:lineRule="auto"/>
      </w:pPr>
      <w:r>
        <w:rPr>
          <w:rFonts w:ascii="Calibri" w:hAnsi="Calibri"/>
          <w:color w:val="455B74"/>
        </w:rPr>
        <w:t>Configuration, services, third-party or roadmap dependency.</w:t>
      </w:r>
    </w:p>
    <w:p>
      <w:pPr>
        <w:numPr>
          <w:ilvl w:val="0"/>
          <w:numId w:val="13"/>
        </w:numPr>
        <w:spacing w:after="80" w:line="300" w:lineRule="auto"/>
      </w:pPr>
      <w:r>
        <w:rPr>
          <w:rFonts w:ascii="Calibri" w:hAnsi="Calibri"/>
          <w:color w:val="455B74"/>
        </w:rPr>
        <w:t>Buyer and supplier implementation responsibilities.</w:t>
      </w:r>
    </w:p>
    <w:p>
      <w:pPr>
        <w:numPr>
          <w:ilvl w:val="0"/>
          <w:numId w:val="13"/>
        </w:numPr>
        <w:spacing w:after="80" w:line="300" w:lineRule="auto"/>
      </w:pPr>
      <w:r>
        <w:rPr>
          <w:rFonts w:ascii="Calibri" w:hAnsi="Calibri"/>
          <w:color w:val="455B74"/>
        </w:rPr>
        <w:t>Assumptions and limitations.</w:t>
      </w:r>
    </w:p>
    <w:p>
      <w:pPr>
        <w:numPr>
          <w:ilvl w:val="0"/>
          <w:numId w:val="13"/>
        </w:numPr>
        <w:spacing w:after="80" w:line="300" w:lineRule="auto"/>
      </w:pPr>
      <w:r>
        <w:rPr>
          <w:rFonts w:ascii="Calibri" w:hAnsi="Calibri"/>
          <w:color w:val="455B74"/>
        </w:rPr>
        <w:t>One-time and recurring price impact, plus the earliest available date if not available now.</w:t>
      </w:r>
    </w:p>
    <w:p>
      <w:pPr>
        <w:pStyle w:val="Heading1"/>
      </w:pPr>
      <w:r>
        <w:t>3. Research, market and requirement data</w:t>
      </w:r>
    </w:p>
    <w:p>
      <w:pPr>
        <w:numPr>
          <w:ilvl w:val="0"/>
          <w:numId w:val="14"/>
        </w:numPr>
        <w:spacing w:after="80" w:line="300" w:lineRule="auto"/>
      </w:pPr>
      <w:r>
        <w:rPr>
          <w:rFonts w:ascii="Calibri" w:hAnsi="Calibri"/>
          <w:color w:val="455B74"/>
        </w:rPr>
        <w:t>Map jurisdiction, authority, entity, activity, product, licence and requirement relationships.</w:t>
      </w:r>
    </w:p>
    <w:p>
      <w:pPr>
        <w:numPr>
          <w:ilvl w:val="0"/>
          <w:numId w:val="14"/>
        </w:numPr>
        <w:spacing w:after="80" w:line="300" w:lineRule="auto"/>
      </w:pPr>
      <w:r>
        <w:rPr>
          <w:rFonts w:ascii="Calibri" w:hAnsi="Calibri"/>
          <w:color w:val="455B74"/>
        </w:rPr>
        <w:t>Show the governing material, version, effective date, checked date and review status behind a finding.</w:t>
      </w:r>
    </w:p>
    <w:p>
      <w:pPr>
        <w:numPr>
          <w:ilvl w:val="0"/>
          <w:numId w:val="14"/>
        </w:numPr>
        <w:spacing w:after="80" w:line="300" w:lineRule="auto"/>
      </w:pPr>
      <w:r>
        <w:rPr>
          <w:rFonts w:ascii="Calibri" w:hAnsi="Calibri"/>
          <w:color w:val="455B74"/>
        </w:rPr>
        <w:t>Compare requirements across at least two buyer-selected markets without losing product and entity assumptions.</w:t>
      </w:r>
    </w:p>
    <w:p>
      <w:pPr>
        <w:numPr>
          <w:ilvl w:val="0"/>
          <w:numId w:val="14"/>
        </w:numPr>
        <w:spacing w:after="80" w:line="300" w:lineRule="auto"/>
      </w:pPr>
      <w:r>
        <w:rPr>
          <w:rFonts w:ascii="Calibri" w:hAnsi="Calibri"/>
          <w:color w:val="455B74"/>
        </w:rPr>
        <w:t>Distinguish narrative overviews, document coverage, structured requirements and technical modules.</w:t>
      </w:r>
    </w:p>
    <w:p>
      <w:pPr>
        <w:numPr>
          <w:ilvl w:val="0"/>
          <w:numId w:val="14"/>
        </w:numPr>
        <w:spacing w:after="80" w:line="300" w:lineRule="auto"/>
      </w:pPr>
      <w:r>
        <w:rPr>
          <w:rFonts w:ascii="Calibri" w:hAnsi="Calibri"/>
          <w:color w:val="455B74"/>
        </w:rPr>
        <w:t>Record uncertainty, exceptions, unresolved questions and reviewer decisions.</w:t>
      </w:r>
    </w:p>
    <w:p>
      <w:pPr>
        <w:numPr>
          <w:ilvl w:val="0"/>
          <w:numId w:val="14"/>
        </w:numPr>
        <w:spacing w:after="80" w:line="300" w:lineRule="auto"/>
      </w:pPr>
      <w:r>
        <w:rPr>
          <w:rFonts w:ascii="Calibri" w:hAnsi="Calibri"/>
          <w:color w:val="455B74"/>
        </w:rPr>
        <w:t>Preserve prior versions and explain the correction process.</w:t>
      </w:r>
    </w:p>
    <w:p>
      <w:pPr>
        <w:numPr>
          <w:ilvl w:val="0"/>
          <w:numId w:val="14"/>
        </w:numPr>
        <w:spacing w:after="80" w:line="300" w:lineRule="auto"/>
      </w:pPr>
      <w:r>
        <w:rPr>
          <w:rFonts w:ascii="Calibri" w:hAnsi="Calibri"/>
          <w:color w:val="455B74"/>
        </w:rPr>
        <w:t>Export research output with its relationships, metadata and review history.</w:t>
      </w:r>
    </w:p>
    <w:p>
      <w:pPr>
        <w:pStyle w:val="Heading1"/>
      </w:pPr>
      <w:r>
        <w:t>4. Monitoring and change response</w:t>
      </w:r>
    </w:p>
    <w:p>
      <w:pPr>
        <w:numPr>
          <w:ilvl w:val="0"/>
          <w:numId w:val="15"/>
        </w:numPr>
        <w:spacing w:after="80" w:line="300" w:lineRule="auto"/>
      </w:pPr>
      <w:r>
        <w:rPr>
          <w:rFonts w:ascii="Calibri" w:hAnsi="Calibri"/>
          <w:color w:val="455B74"/>
        </w:rPr>
        <w:t>Explain monitored content, source selection and materiality controls.</w:t>
      </w:r>
    </w:p>
    <w:p>
      <w:pPr>
        <w:numPr>
          <w:ilvl w:val="0"/>
          <w:numId w:val="15"/>
        </w:numPr>
        <w:spacing w:after="80" w:line="300" w:lineRule="auto"/>
      </w:pPr>
      <w:r>
        <w:rPr>
          <w:rFonts w:ascii="Calibri" w:hAnsi="Calibri"/>
          <w:color w:val="455B74"/>
        </w:rPr>
        <w:t>Demonstrate detection of one buyer-selected material change.</w:t>
      </w:r>
    </w:p>
    <w:p>
      <w:pPr>
        <w:numPr>
          <w:ilvl w:val="0"/>
          <w:numId w:val="15"/>
        </w:numPr>
        <w:spacing w:after="80" w:line="300" w:lineRule="auto"/>
      </w:pPr>
      <w:r>
        <w:rPr>
          <w:rFonts w:ascii="Calibri" w:hAnsi="Calibri"/>
          <w:color w:val="455B74"/>
        </w:rPr>
        <w:t>Demonstrate rejection or downgrading of one irrelevant update.</w:t>
      </w:r>
    </w:p>
    <w:p>
      <w:pPr>
        <w:numPr>
          <w:ilvl w:val="0"/>
          <w:numId w:val="15"/>
        </w:numPr>
        <w:spacing w:after="80" w:line="300" w:lineRule="auto"/>
      </w:pPr>
      <w:r>
        <w:rPr>
          <w:rFonts w:ascii="Calibri" w:hAnsi="Calibri"/>
          <w:color w:val="455B74"/>
        </w:rPr>
        <w:t>Connect the change to affected markets, licences, requirements, controls, products and owners.</w:t>
      </w:r>
    </w:p>
    <w:p>
      <w:pPr>
        <w:numPr>
          <w:ilvl w:val="0"/>
          <w:numId w:val="15"/>
        </w:numPr>
        <w:spacing w:after="80" w:line="300" w:lineRule="auto"/>
      </w:pPr>
      <w:r>
        <w:rPr>
          <w:rFonts w:ascii="Calibri" w:hAnsi="Calibri"/>
          <w:color w:val="455B74"/>
        </w:rPr>
        <w:t>Record relevance, applicability, impact, action, deadline, evidence, review and sign-off.</w:t>
      </w:r>
    </w:p>
    <w:p>
      <w:pPr>
        <w:numPr>
          <w:ilvl w:val="0"/>
          <w:numId w:val="15"/>
        </w:numPr>
        <w:spacing w:after="80" w:line="300" w:lineRule="auto"/>
      </w:pPr>
      <w:r>
        <w:rPr>
          <w:rFonts w:ascii="Calibri" w:hAnsi="Calibri"/>
          <w:color w:val="455B74"/>
        </w:rPr>
        <w:t>Show alert tuning, duplicate handling, escalation and retained history.</w:t>
      </w:r>
    </w:p>
    <w:p>
      <w:pPr>
        <w:numPr>
          <w:ilvl w:val="0"/>
          <w:numId w:val="15"/>
        </w:numPr>
        <w:spacing w:after="80" w:line="300" w:lineRule="auto"/>
      </w:pPr>
      <w:r>
        <w:rPr>
          <w:rFonts w:ascii="Calibri" w:hAnsi="Calibri"/>
          <w:color w:val="455B74"/>
        </w:rPr>
        <w:t>Separate compliance-change monitoring from betting-integrity, AML, KYC and player-risk systems.</w:t>
      </w:r>
    </w:p>
    <w:p>
      <w:pPr>
        <w:pStyle w:val="Heading1"/>
      </w:pPr>
      <w:r>
        <w:t>5. Licensing, technical compliance and market entry</w:t>
      </w:r>
    </w:p>
    <w:p>
      <w:pPr>
        <w:numPr>
          <w:ilvl w:val="0"/>
          <w:numId w:val="16"/>
        </w:numPr>
        <w:spacing w:after="80" w:line="300" w:lineRule="auto"/>
      </w:pPr>
      <w:r>
        <w:rPr>
          <w:rFonts w:ascii="Calibri" w:hAnsi="Calibri"/>
          <w:color w:val="455B74"/>
        </w:rPr>
        <w:t>Build a market-entry perimeter from buyer-supplied facts.</w:t>
      </w:r>
    </w:p>
    <w:p>
      <w:pPr>
        <w:numPr>
          <w:ilvl w:val="0"/>
          <w:numId w:val="16"/>
        </w:numPr>
        <w:spacing w:after="80" w:line="300" w:lineRule="auto"/>
      </w:pPr>
      <w:r>
        <w:rPr>
          <w:rFonts w:ascii="Calibri" w:hAnsi="Calibri"/>
          <w:color w:val="455B74"/>
        </w:rPr>
        <w:t>Identify authority, licence route, application dependencies and ongoing obligations.</w:t>
      </w:r>
    </w:p>
    <w:p>
      <w:pPr>
        <w:numPr>
          <w:ilvl w:val="0"/>
          <w:numId w:val="16"/>
        </w:numPr>
        <w:spacing w:after="80" w:line="300" w:lineRule="auto"/>
      </w:pPr>
      <w:r>
        <w:rPr>
          <w:rFonts w:ascii="Calibri" w:hAnsi="Calibri"/>
          <w:color w:val="455B74"/>
        </w:rPr>
        <w:t>Compare one buyer-selected technical requirement across markets.</w:t>
      </w:r>
    </w:p>
    <w:p>
      <w:pPr>
        <w:numPr>
          <w:ilvl w:val="0"/>
          <w:numId w:val="16"/>
        </w:numPr>
        <w:spacing w:after="80" w:line="300" w:lineRule="auto"/>
      </w:pPr>
      <w:r>
        <w:rPr>
          <w:rFonts w:ascii="Calibri" w:hAnsi="Calibri"/>
          <w:color w:val="455B74"/>
        </w:rPr>
        <w:t>Track gaps, decisions, owners, evidence, external advice and launch readiness.</w:t>
      </w:r>
    </w:p>
    <w:p>
      <w:pPr>
        <w:numPr>
          <w:ilvl w:val="0"/>
          <w:numId w:val="16"/>
        </w:numPr>
        <w:spacing w:after="80" w:line="300" w:lineRule="auto"/>
      </w:pPr>
      <w:r>
        <w:rPr>
          <w:rFonts w:ascii="Calibri" w:hAnsi="Calibri"/>
          <w:color w:val="455B74"/>
        </w:rPr>
        <w:t>Explain any specialist licensing-administration, certification or advisory service outside the platform.</w:t>
      </w:r>
    </w:p>
    <w:p>
      <w:pPr>
        <w:numPr>
          <w:ilvl w:val="0"/>
          <w:numId w:val="16"/>
        </w:numPr>
        <w:spacing w:after="80" w:line="300" w:lineRule="auto"/>
      </w:pPr>
      <w:r>
        <w:rPr>
          <w:rFonts w:ascii="Calibri" w:hAnsi="Calibri"/>
          <w:color w:val="455B74"/>
        </w:rPr>
        <w:t>Demonstrate status and reporting across multiple entities and markets.</w:t>
      </w:r>
    </w:p>
    <w:p>
      <w:pPr>
        <w:pStyle w:val="Heading1"/>
      </w:pPr>
      <w:r>
        <w:t>6. Workflow, evidence and reporting</w:t>
      </w:r>
    </w:p>
    <w:p>
      <w:pPr>
        <w:numPr>
          <w:ilvl w:val="0"/>
          <w:numId w:val="17"/>
        </w:numPr>
        <w:spacing w:after="80" w:line="300" w:lineRule="auto"/>
      </w:pPr>
      <w:r>
        <w:rPr>
          <w:rFonts w:ascii="Calibri" w:hAnsi="Calibri"/>
          <w:color w:val="455B74"/>
        </w:rPr>
        <w:t>Create work from source material or a structured requirement.</w:t>
      </w:r>
    </w:p>
    <w:p>
      <w:pPr>
        <w:numPr>
          <w:ilvl w:val="0"/>
          <w:numId w:val="17"/>
        </w:numPr>
        <w:spacing w:after="80" w:line="300" w:lineRule="auto"/>
      </w:pPr>
      <w:r>
        <w:rPr>
          <w:rFonts w:ascii="Calibri" w:hAnsi="Calibri"/>
          <w:color w:val="455B74"/>
        </w:rPr>
        <w:t>Assign owners, contributors, reviewers, dates and dependencies.</w:t>
      </w:r>
    </w:p>
    <w:p>
      <w:pPr>
        <w:numPr>
          <w:ilvl w:val="0"/>
          <w:numId w:val="17"/>
        </w:numPr>
        <w:spacing w:after="80" w:line="300" w:lineRule="auto"/>
      </w:pPr>
      <w:r>
        <w:rPr>
          <w:rFonts w:ascii="Calibri" w:hAnsi="Calibri"/>
          <w:color w:val="455B74"/>
        </w:rPr>
        <w:t>Record comments, evidence, decisions, approvals and sign-off.</w:t>
      </w:r>
    </w:p>
    <w:p>
      <w:pPr>
        <w:numPr>
          <w:ilvl w:val="0"/>
          <w:numId w:val="17"/>
        </w:numPr>
        <w:spacing w:after="80" w:line="300" w:lineRule="auto"/>
      </w:pPr>
      <w:r>
        <w:rPr>
          <w:rFonts w:ascii="Calibri" w:hAnsi="Calibri"/>
          <w:color w:val="455B74"/>
        </w:rPr>
        <w:t>Show status, overdue work, exceptions and management reporting.</w:t>
      </w:r>
    </w:p>
    <w:p>
      <w:pPr>
        <w:numPr>
          <w:ilvl w:val="0"/>
          <w:numId w:val="17"/>
        </w:numPr>
        <w:spacing w:after="80" w:line="300" w:lineRule="auto"/>
      </w:pPr>
      <w:r>
        <w:rPr>
          <w:rFonts w:ascii="Calibri" w:hAnsi="Calibri"/>
          <w:color w:val="455B74"/>
        </w:rPr>
        <w:t>Retrieve the complete history behind a completed decision.</w:t>
      </w:r>
    </w:p>
    <w:p>
      <w:pPr>
        <w:numPr>
          <w:ilvl w:val="0"/>
          <w:numId w:val="17"/>
        </w:numPr>
        <w:spacing w:after="80" w:line="300" w:lineRule="auto"/>
      </w:pPr>
      <w:r>
        <w:rPr>
          <w:rFonts w:ascii="Calibri" w:hAnsi="Calibri"/>
          <w:color w:val="455B74"/>
        </w:rPr>
        <w:t>Demonstrate permissions, segregation and audit events.</w:t>
      </w:r>
    </w:p>
    <w:p>
      <w:pPr>
        <w:numPr>
          <w:ilvl w:val="0"/>
          <w:numId w:val="17"/>
        </w:numPr>
        <w:spacing w:after="80" w:line="300" w:lineRule="auto"/>
      </w:pPr>
      <w:r>
        <w:rPr>
          <w:rFonts w:ascii="Calibri" w:hAnsi="Calibri"/>
          <w:color w:val="455B74"/>
        </w:rPr>
        <w:t>Export records, history, attachments and metadata in reusable formats.</w:t>
      </w:r>
    </w:p>
    <w:p>
      <w:pPr>
        <w:pStyle w:val="Heading1"/>
      </w:pPr>
      <w:r>
        <w:t>7. AI use and review controls</w:t>
      </w:r>
    </w:p>
    <w:p>
      <w:pPr>
        <w:numPr>
          <w:ilvl w:val="0"/>
          <w:numId w:val="18"/>
        </w:numPr>
        <w:spacing w:after="80" w:line="300" w:lineRule="auto"/>
      </w:pPr>
      <w:r>
        <w:rPr>
          <w:rFonts w:ascii="Calibri" w:hAnsi="Calibri"/>
          <w:color w:val="455B74"/>
        </w:rPr>
        <w:t>Identify every AI-assisted feature in the proposed scope.</w:t>
      </w:r>
    </w:p>
    <w:p>
      <w:pPr>
        <w:numPr>
          <w:ilvl w:val="0"/>
          <w:numId w:val="18"/>
        </w:numPr>
        <w:spacing w:after="80" w:line="300" w:lineRule="auto"/>
      </w:pPr>
      <w:r>
        <w:rPr>
          <w:rFonts w:ascii="Calibri" w:hAnsi="Calibri"/>
          <w:color w:val="455B74"/>
        </w:rPr>
        <w:t>Explain model providers, data handling, retention and training controls.</w:t>
      </w:r>
    </w:p>
    <w:p>
      <w:pPr>
        <w:numPr>
          <w:ilvl w:val="0"/>
          <w:numId w:val="18"/>
        </w:numPr>
        <w:spacing w:after="80" w:line="300" w:lineRule="auto"/>
      </w:pPr>
      <w:r>
        <w:rPr>
          <w:rFonts w:ascii="Calibri" w:hAnsi="Calibri"/>
          <w:color w:val="455B74"/>
        </w:rPr>
        <w:t>Show citations or governing material behind AI-assisted output where relevant.</w:t>
      </w:r>
    </w:p>
    <w:p>
      <w:pPr>
        <w:numPr>
          <w:ilvl w:val="0"/>
          <w:numId w:val="18"/>
        </w:numPr>
        <w:spacing w:after="80" w:line="300" w:lineRule="auto"/>
      </w:pPr>
      <w:r>
        <w:rPr>
          <w:rFonts w:ascii="Calibri" w:hAnsi="Calibri"/>
          <w:color w:val="455B74"/>
        </w:rPr>
        <w:t>Demonstrate human review, corrections, uncertainty and version history.</w:t>
      </w:r>
    </w:p>
    <w:p>
      <w:pPr>
        <w:numPr>
          <w:ilvl w:val="0"/>
          <w:numId w:val="18"/>
        </w:numPr>
        <w:spacing w:after="80" w:line="300" w:lineRule="auto"/>
      </w:pPr>
      <w:r>
        <w:rPr>
          <w:rFonts w:ascii="Calibri" w:hAnsi="Calibri"/>
          <w:color w:val="455B74"/>
        </w:rPr>
        <w:t>State which outputs must not be relied on without qualified review.</w:t>
      </w:r>
    </w:p>
    <w:p>
      <w:pPr>
        <w:numPr>
          <w:ilvl w:val="0"/>
          <w:numId w:val="18"/>
        </w:numPr>
        <w:spacing w:after="80" w:line="300" w:lineRule="auto"/>
      </w:pPr>
      <w:r>
        <w:rPr>
          <w:rFonts w:ascii="Calibri" w:hAnsi="Calibri"/>
          <w:color w:val="455B74"/>
        </w:rPr>
        <w:t>Provide the buyer controls available to limit or disable AI processing.</w:t>
      </w:r>
    </w:p>
    <w:p>
      <w:pPr>
        <w:pStyle w:val="Heading1"/>
      </w:pPr>
      <w:r>
        <w:t>8. Security, privacy and integration</w:t>
      </w:r>
    </w:p>
    <w:p>
      <w:pPr>
        <w:numPr>
          <w:ilvl w:val="0"/>
          <w:numId w:val="19"/>
        </w:numPr>
        <w:spacing w:after="80" w:line="300" w:lineRule="auto"/>
      </w:pPr>
      <w:r>
        <w:rPr>
          <w:rFonts w:ascii="Calibri" w:hAnsi="Calibri"/>
          <w:color w:val="455B74"/>
        </w:rPr>
        <w:t>Complete the buyer security and privacy questionnaire.</w:t>
      </w:r>
    </w:p>
    <w:p>
      <w:pPr>
        <w:numPr>
          <w:ilvl w:val="0"/>
          <w:numId w:val="19"/>
        </w:numPr>
        <w:spacing w:after="80" w:line="300" w:lineRule="auto"/>
      </w:pPr>
      <w:r>
        <w:rPr>
          <w:rFonts w:ascii="Calibri" w:hAnsi="Calibri"/>
          <w:color w:val="455B74"/>
        </w:rPr>
        <w:t>Provide hosting, subprocessor, data-location and resilience information.</w:t>
      </w:r>
    </w:p>
    <w:p>
      <w:pPr>
        <w:numPr>
          <w:ilvl w:val="0"/>
          <w:numId w:val="19"/>
        </w:numPr>
        <w:spacing w:after="80" w:line="300" w:lineRule="auto"/>
      </w:pPr>
      <w:r>
        <w:rPr>
          <w:rFonts w:ascii="Calibri" w:hAnsi="Calibri"/>
          <w:color w:val="455B74"/>
        </w:rPr>
        <w:t>Demonstrate authentication, SSO, role-based access and user lifecycle controls.</w:t>
      </w:r>
    </w:p>
    <w:p>
      <w:pPr>
        <w:numPr>
          <w:ilvl w:val="0"/>
          <w:numId w:val="19"/>
        </w:numPr>
        <w:spacing w:after="80" w:line="300" w:lineRule="auto"/>
      </w:pPr>
      <w:r>
        <w:rPr>
          <w:rFonts w:ascii="Calibri" w:hAnsi="Calibri"/>
          <w:color w:val="455B74"/>
        </w:rPr>
        <w:t>Explain encryption, logging, incident response, backup and recovery.</w:t>
      </w:r>
    </w:p>
    <w:p>
      <w:pPr>
        <w:numPr>
          <w:ilvl w:val="0"/>
          <w:numId w:val="19"/>
        </w:numPr>
        <w:spacing w:after="80" w:line="300" w:lineRule="auto"/>
      </w:pPr>
      <w:r>
        <w:rPr>
          <w:rFonts w:ascii="Calibri" w:hAnsi="Calibri"/>
          <w:color w:val="455B74"/>
        </w:rPr>
        <w:t>Detail API, webhook and standard integration capability.</w:t>
      </w:r>
    </w:p>
    <w:p>
      <w:pPr>
        <w:numPr>
          <w:ilvl w:val="0"/>
          <w:numId w:val="19"/>
        </w:numPr>
        <w:spacing w:after="80" w:line="300" w:lineRule="auto"/>
      </w:pPr>
      <w:r>
        <w:rPr>
          <w:rFonts w:ascii="Calibri" w:hAnsi="Calibri"/>
          <w:color w:val="455B74"/>
        </w:rPr>
        <w:t>Prove one buyer-priority integration using representative data.</w:t>
      </w:r>
    </w:p>
    <w:p>
      <w:pPr>
        <w:numPr>
          <w:ilvl w:val="0"/>
          <w:numId w:val="19"/>
        </w:numPr>
        <w:spacing w:after="80" w:line="300" w:lineRule="auto"/>
      </w:pPr>
      <w:r>
        <w:rPr>
          <w:rFonts w:ascii="Calibri" w:hAnsi="Calibri"/>
          <w:color w:val="455B74"/>
        </w:rPr>
        <w:t>State assurance reports, testing scope and remediation process.</w:t>
      </w:r>
    </w:p>
    <w:p>
      <w:pPr>
        <w:pStyle w:val="Heading1"/>
      </w:pPr>
      <w:r>
        <w:t>9. Implementation and service model</w:t>
      </w:r>
    </w:p>
    <w:p>
      <w:pPr>
        <w:numPr>
          <w:ilvl w:val="0"/>
          <w:numId w:val="20"/>
        </w:numPr>
        <w:spacing w:after="80" w:line="300" w:lineRule="auto"/>
      </w:pPr>
      <w:r>
        <w:rPr>
          <w:rFonts w:ascii="Calibri" w:hAnsi="Calibri"/>
          <w:color w:val="455B74"/>
        </w:rPr>
        <w:t>Provide a responsibility matrix for discovery, configuration, data, migration, testing, training and launch.</w:t>
      </w:r>
    </w:p>
    <w:p>
      <w:pPr>
        <w:numPr>
          <w:ilvl w:val="0"/>
          <w:numId w:val="20"/>
        </w:numPr>
        <w:spacing w:after="80" w:line="300" w:lineRule="auto"/>
      </w:pPr>
      <w:r>
        <w:rPr>
          <w:rFonts w:ascii="Calibri" w:hAnsi="Calibri"/>
          <w:color w:val="455B74"/>
        </w:rPr>
        <w:t>Name the proposed implementation and ongoing service roles.</w:t>
      </w:r>
    </w:p>
    <w:p>
      <w:pPr>
        <w:numPr>
          <w:ilvl w:val="0"/>
          <w:numId w:val="20"/>
        </w:numPr>
        <w:spacing w:after="80" w:line="300" w:lineRule="auto"/>
      </w:pPr>
      <w:r>
        <w:rPr>
          <w:rFonts w:ascii="Calibri" w:hAnsi="Calibri"/>
          <w:color w:val="455B74"/>
        </w:rPr>
        <w:t>State buyer dependencies and minimum internal effort.</w:t>
      </w:r>
    </w:p>
    <w:p>
      <w:pPr>
        <w:numPr>
          <w:ilvl w:val="0"/>
          <w:numId w:val="20"/>
        </w:numPr>
        <w:spacing w:after="80" w:line="300" w:lineRule="auto"/>
      </w:pPr>
      <w:r>
        <w:rPr>
          <w:rFonts w:ascii="Calibri" w:hAnsi="Calibri"/>
          <w:color w:val="455B74"/>
        </w:rPr>
        <w:t>Define acceptance criteria, support hours, severity levels and response targets.</w:t>
      </w:r>
    </w:p>
    <w:p>
      <w:pPr>
        <w:numPr>
          <w:ilvl w:val="0"/>
          <w:numId w:val="20"/>
        </w:numPr>
        <w:spacing w:after="80" w:line="300" w:lineRule="auto"/>
      </w:pPr>
      <w:r>
        <w:rPr>
          <w:rFonts w:ascii="Calibri" w:hAnsi="Calibri"/>
          <w:color w:val="455B74"/>
        </w:rPr>
        <w:t>Explain update, quality-review and correction responsibilities.</w:t>
      </w:r>
    </w:p>
    <w:p>
      <w:pPr>
        <w:numPr>
          <w:ilvl w:val="0"/>
          <w:numId w:val="20"/>
        </w:numPr>
        <w:spacing w:after="80" w:line="300" w:lineRule="auto"/>
      </w:pPr>
      <w:r>
        <w:rPr>
          <w:rFonts w:ascii="Calibri" w:hAnsi="Calibri"/>
          <w:color w:val="455B74"/>
        </w:rPr>
        <w:t>Provide a plan for adoption, training and operational handover.</w:t>
      </w:r>
    </w:p>
    <w:p>
      <w:pPr>
        <w:pStyle w:val="Heading1"/>
      </w:pPr>
      <w:r>
        <w:t>10. Commercial schedule</w:t>
      </w:r>
    </w:p>
    <w:p>
      <w:r>
        <w:rPr>
          <w:rFonts w:ascii="Calibri" w:hAnsi="Calibri"/>
          <w:color w:val="455B74"/>
        </w:rPr>
        <w:t>Price the same three-year scope across:</w:t>
      </w:r>
    </w:p>
    <w:p>
      <w:pPr>
        <w:numPr>
          <w:ilvl w:val="0"/>
          <w:numId w:val="21"/>
        </w:numPr>
        <w:spacing w:after="80" w:line="300" w:lineRule="auto"/>
      </w:pPr>
      <w:r>
        <w:rPr>
          <w:rFonts w:ascii="Calibri" w:hAnsi="Calibri"/>
          <w:color w:val="455B74"/>
        </w:rPr>
        <w:t>Subscription and data packages.</w:t>
      </w:r>
    </w:p>
    <w:p>
      <w:pPr>
        <w:numPr>
          <w:ilvl w:val="0"/>
          <w:numId w:val="21"/>
        </w:numPr>
        <w:spacing w:after="80" w:line="300" w:lineRule="auto"/>
      </w:pPr>
      <w:r>
        <w:rPr>
          <w:rFonts w:ascii="Calibri" w:hAnsi="Calibri"/>
          <w:color w:val="455B74"/>
        </w:rPr>
        <w:t>Users, entities, markets, modules and environments.</w:t>
      </w:r>
    </w:p>
    <w:p>
      <w:pPr>
        <w:numPr>
          <w:ilvl w:val="0"/>
          <w:numId w:val="21"/>
        </w:numPr>
        <w:spacing w:after="80" w:line="300" w:lineRule="auto"/>
      </w:pPr>
      <w:r>
        <w:rPr>
          <w:rFonts w:ascii="Calibri" w:hAnsi="Calibri"/>
          <w:color w:val="455B74"/>
        </w:rPr>
        <w:t>Implementation, migration and configuration.</w:t>
      </w:r>
    </w:p>
    <w:p>
      <w:pPr>
        <w:numPr>
          <w:ilvl w:val="0"/>
          <w:numId w:val="21"/>
        </w:numPr>
        <w:spacing w:after="80" w:line="300" w:lineRule="auto"/>
      </w:pPr>
      <w:r>
        <w:rPr>
          <w:rFonts w:ascii="Calibri" w:hAnsi="Calibri"/>
          <w:color w:val="455B74"/>
        </w:rPr>
        <w:t>Integrations and security work.</w:t>
      </w:r>
    </w:p>
    <w:p>
      <w:pPr>
        <w:numPr>
          <w:ilvl w:val="0"/>
          <w:numId w:val="21"/>
        </w:numPr>
        <w:spacing w:after="80" w:line="300" w:lineRule="auto"/>
      </w:pPr>
      <w:r>
        <w:rPr>
          <w:rFonts w:ascii="Calibri" w:hAnsi="Calibri"/>
          <w:color w:val="455B74"/>
        </w:rPr>
        <w:t>Training and adoption.</w:t>
      </w:r>
    </w:p>
    <w:p>
      <w:pPr>
        <w:numPr>
          <w:ilvl w:val="0"/>
          <w:numId w:val="21"/>
        </w:numPr>
        <w:spacing w:after="80" w:line="300" w:lineRule="auto"/>
      </w:pPr>
      <w:r>
        <w:rPr>
          <w:rFonts w:ascii="Calibri" w:hAnsi="Calibri"/>
          <w:color w:val="455B74"/>
        </w:rPr>
        <w:t>Specialist or managed services.</w:t>
      </w:r>
    </w:p>
    <w:p>
      <w:pPr>
        <w:numPr>
          <w:ilvl w:val="0"/>
          <w:numId w:val="21"/>
        </w:numPr>
        <w:spacing w:after="80" w:line="300" w:lineRule="auto"/>
      </w:pPr>
      <w:r>
        <w:rPr>
          <w:rFonts w:ascii="Calibri" w:hAnsi="Calibri"/>
          <w:color w:val="455B74"/>
        </w:rPr>
        <w:t>Support tiers and overages.</w:t>
      </w:r>
    </w:p>
    <w:p>
      <w:pPr>
        <w:numPr>
          <w:ilvl w:val="0"/>
          <w:numId w:val="21"/>
        </w:numPr>
        <w:spacing w:after="80" w:line="300" w:lineRule="auto"/>
      </w:pPr>
      <w:r>
        <w:rPr>
          <w:rFonts w:ascii="Calibri" w:hAnsi="Calibri"/>
          <w:color w:val="455B74"/>
        </w:rPr>
        <w:t>Optional expansion.</w:t>
      </w:r>
    </w:p>
    <w:p>
      <w:pPr>
        <w:numPr>
          <w:ilvl w:val="0"/>
          <w:numId w:val="21"/>
        </w:numPr>
        <w:spacing w:after="80" w:line="300" w:lineRule="auto"/>
      </w:pPr>
      <w:r>
        <w:rPr>
          <w:rFonts w:ascii="Calibri" w:hAnsi="Calibri"/>
          <w:color w:val="455B74"/>
        </w:rPr>
        <w:t>Renewal indexation and price review.</w:t>
      </w:r>
    </w:p>
    <w:p>
      <w:pPr>
        <w:numPr>
          <w:ilvl w:val="0"/>
          <w:numId w:val="21"/>
        </w:numPr>
        <w:spacing w:after="80" w:line="300" w:lineRule="auto"/>
      </w:pPr>
      <w:r>
        <w:rPr>
          <w:rFonts w:ascii="Calibri" w:hAnsi="Calibri"/>
          <w:color w:val="455B74"/>
        </w:rPr>
        <w:t>Data return, transition assistance and exit.</w:t>
      </w:r>
    </w:p>
    <w:p>
      <w:r>
        <w:rPr>
          <w:rFonts w:ascii="Calibri" w:hAnsi="Calibri"/>
          <w:color w:val="455B74"/>
        </w:rPr>
        <w:t>State every assumption, exclusion, minimum commitment, third-party charge and tax position.</w:t>
      </w:r>
    </w:p>
    <w:p>
      <w:pPr>
        <w:pStyle w:val="Heading1"/>
      </w:pPr>
      <w:r>
        <w:t>11. Data return and exit</w:t>
      </w:r>
    </w:p>
    <w:p>
      <w:pPr>
        <w:numPr>
          <w:ilvl w:val="0"/>
          <w:numId w:val="22"/>
        </w:numPr>
        <w:spacing w:after="80" w:line="300" w:lineRule="auto"/>
      </w:pPr>
      <w:r>
        <w:rPr>
          <w:rFonts w:ascii="Calibri" w:hAnsi="Calibri"/>
          <w:color w:val="455B74"/>
        </w:rPr>
        <w:t>List export formats for every record class, relationship, attachment and audit event.</w:t>
      </w:r>
    </w:p>
    <w:p>
      <w:pPr>
        <w:numPr>
          <w:ilvl w:val="0"/>
          <w:numId w:val="22"/>
        </w:numPr>
        <w:spacing w:after="80" w:line="300" w:lineRule="auto"/>
      </w:pPr>
      <w:r>
        <w:rPr>
          <w:rFonts w:ascii="Calibri" w:hAnsi="Calibri"/>
          <w:color w:val="455B74"/>
        </w:rPr>
        <w:t>State whether exports are buyer-operated or require supplier assistance.</w:t>
      </w:r>
    </w:p>
    <w:p>
      <w:pPr>
        <w:numPr>
          <w:ilvl w:val="0"/>
          <w:numId w:val="22"/>
        </w:numPr>
        <w:spacing w:after="80" w:line="300" w:lineRule="auto"/>
      </w:pPr>
      <w:r>
        <w:rPr>
          <w:rFonts w:ascii="Calibri" w:hAnsi="Calibri"/>
          <w:color w:val="455B74"/>
        </w:rPr>
        <w:t>Price standard and assisted data return.</w:t>
      </w:r>
    </w:p>
    <w:p>
      <w:pPr>
        <w:numPr>
          <w:ilvl w:val="0"/>
          <w:numId w:val="22"/>
        </w:numPr>
        <w:spacing w:after="80" w:line="300" w:lineRule="auto"/>
      </w:pPr>
      <w:r>
        <w:rPr>
          <w:rFonts w:ascii="Calibri" w:hAnsi="Calibri"/>
          <w:color w:val="455B74"/>
        </w:rPr>
        <w:t>Define timing, completeness checks and identifier preservation.</w:t>
      </w:r>
    </w:p>
    <w:p>
      <w:pPr>
        <w:numPr>
          <w:ilvl w:val="0"/>
          <w:numId w:val="22"/>
        </w:numPr>
        <w:spacing w:after="80" w:line="300" w:lineRule="auto"/>
      </w:pPr>
      <w:r>
        <w:rPr>
          <w:rFonts w:ascii="Calibri" w:hAnsi="Calibri"/>
          <w:color w:val="455B74"/>
        </w:rPr>
        <w:t>Explain archive access, account closure and deletion confirmation.</w:t>
      </w:r>
    </w:p>
    <w:p>
      <w:pPr>
        <w:numPr>
          <w:ilvl w:val="0"/>
          <w:numId w:val="22"/>
        </w:numPr>
        <w:spacing w:after="80" w:line="300" w:lineRule="auto"/>
      </w:pPr>
      <w:r>
        <w:rPr>
          <w:rFonts w:ascii="Calibri" w:hAnsi="Calibri"/>
          <w:color w:val="455B74"/>
        </w:rPr>
        <w:t>State any post-termination access period and transition support.</w:t>
      </w:r>
    </w:p>
    <w:p>
      <w:r>
        <w:br w:type="page"/>
      </w:r>
    </w:p>
    <w:p>
      <w:pPr>
        <w:pStyle w:val="Heading1"/>
      </w:pPr>
      <w:r>
        <w:t>12. Mandatory live scenarios</w:t>
      </w:r>
    </w:p>
    <w:p>
      <w:pPr>
        <w:pStyle w:val="Heading2"/>
      </w:pPr>
      <w:r>
        <w:t>Scenario A: difficult jurisdiction question</w:t>
      </w:r>
    </w:p>
    <w:p>
      <w:r>
        <w:rPr>
          <w:rFonts w:ascii="Calibri" w:hAnsi="Calibri"/>
          <w:color w:val="455B74"/>
        </w:rPr>
        <w:t>Return the governing material, assumptions, requirement-level findings, exceptions, unresolved questions, reviewer controls and a reusable decision packet for a buyer-selected market and product.</w:t>
      </w:r>
    </w:p>
    <w:p>
      <w:pPr>
        <w:pStyle w:val="Heading2"/>
      </w:pPr>
      <w:r>
        <w:t>Scenario B: relevant and irrelevant change</w:t>
      </w:r>
    </w:p>
    <w:p>
      <w:r>
        <w:rPr>
          <w:rFonts w:ascii="Calibri" w:hAnsi="Calibri"/>
          <w:color w:val="455B74"/>
        </w:rPr>
        <w:t>Process one material change and one irrelevant update through detection, relevance, applicability, impact, ownership, evidence, sign-off and reporting.</w:t>
      </w:r>
    </w:p>
    <w:p>
      <w:pPr>
        <w:pStyle w:val="Heading2"/>
      </w:pPr>
      <w:r>
        <w:t>Scenario C: technical or licensing requirement</w:t>
      </w:r>
    </w:p>
    <w:p>
      <w:r>
        <w:rPr>
          <w:rFonts w:ascii="Calibri" w:hAnsi="Calibri"/>
          <w:color w:val="455B74"/>
        </w:rPr>
        <w:t>Resolve one buyer-selected requirement across markets, identify gaps and dependencies, and carry the result into accountable implementation work.</w:t>
      </w:r>
    </w:p>
    <w:p>
      <w:pPr>
        <w:pStyle w:val="Heading2"/>
      </w:pPr>
      <w:r>
        <w:t>Scenario D: workflow and audit retrieval</w:t>
      </w:r>
    </w:p>
    <w:p>
      <w:r>
        <w:rPr>
          <w:rFonts w:ascii="Calibri" w:hAnsi="Calibri"/>
          <w:color w:val="455B74"/>
        </w:rPr>
        <w:t>Create, assign, discuss, evidence, approve and close work. Then retrieve a report and complete history that another reviewer can understand.</w:t>
      </w:r>
    </w:p>
    <w:p>
      <w:pPr>
        <w:pStyle w:val="Heading2"/>
      </w:pPr>
      <w:r>
        <w:t>Scenario E: export and exit</w:t>
      </w:r>
    </w:p>
    <w:p>
      <w:r>
        <w:rPr>
          <w:rFonts w:ascii="Calibri" w:hAnsi="Calibri"/>
          <w:color w:val="455B74"/>
        </w:rPr>
        <w:t>Export the scenario records, relationships, comments, approvals, attachments and metadata. Explain how the buyer would validate and reuse the result after termination.</w:t>
      </w:r>
    </w:p>
    <w:p>
      <w:pPr>
        <w:pStyle w:val="Heading1"/>
      </w:pPr>
      <w:r>
        <w:t>13. Evaluation record</w:t>
      </w:r>
    </w:p>
    <w:p>
      <w:r>
        <w:rPr>
          <w:rFonts w:ascii="Calibri" w:hAnsi="Calibri"/>
          <w:color w:val="455B74"/>
        </w:rPr>
        <w:t>For each scored requirement and scenario retain:</w:t>
      </w:r>
    </w:p>
    <w:p>
      <w:pPr>
        <w:numPr>
          <w:ilvl w:val="0"/>
          <w:numId w:val="23"/>
        </w:numPr>
        <w:spacing w:after="80" w:line="300" w:lineRule="auto"/>
      </w:pPr>
      <w:r>
        <w:rPr>
          <w:rFonts w:ascii="Calibri" w:hAnsi="Calibri"/>
          <w:color w:val="455B74"/>
        </w:rPr>
        <w:t>Score and weight.</w:t>
      </w:r>
    </w:p>
    <w:p>
      <w:pPr>
        <w:numPr>
          <w:ilvl w:val="0"/>
          <w:numId w:val="23"/>
        </w:numPr>
        <w:spacing w:after="80" w:line="300" w:lineRule="auto"/>
      </w:pPr>
      <w:r>
        <w:rPr>
          <w:rFonts w:ascii="Calibri" w:hAnsi="Calibri"/>
          <w:color w:val="455B74"/>
        </w:rPr>
        <w:t>Evidence location.</w:t>
      </w:r>
    </w:p>
    <w:p>
      <w:pPr>
        <w:numPr>
          <w:ilvl w:val="0"/>
          <w:numId w:val="23"/>
        </w:numPr>
        <w:spacing w:after="80" w:line="300" w:lineRule="auto"/>
      </w:pPr>
      <w:r>
        <w:rPr>
          <w:rFonts w:ascii="Calibri" w:hAnsi="Calibri"/>
          <w:color w:val="455B74"/>
        </w:rPr>
        <w:t>Limitation or workaround.</w:t>
      </w:r>
    </w:p>
    <w:p>
      <w:pPr>
        <w:numPr>
          <w:ilvl w:val="0"/>
          <w:numId w:val="23"/>
        </w:numPr>
        <w:spacing w:after="80" w:line="300" w:lineRule="auto"/>
      </w:pPr>
      <w:r>
        <w:rPr>
          <w:rFonts w:ascii="Calibri" w:hAnsi="Calibri"/>
          <w:color w:val="455B74"/>
        </w:rPr>
        <w:t>Implementation dependency.</w:t>
      </w:r>
    </w:p>
    <w:p>
      <w:pPr>
        <w:numPr>
          <w:ilvl w:val="0"/>
          <w:numId w:val="23"/>
        </w:numPr>
        <w:spacing w:after="80" w:line="300" w:lineRule="auto"/>
      </w:pPr>
      <w:r>
        <w:rPr>
          <w:rFonts w:ascii="Calibri" w:hAnsi="Calibri"/>
          <w:color w:val="455B74"/>
        </w:rPr>
        <w:t>Commercial assumption.</w:t>
      </w:r>
    </w:p>
    <w:p>
      <w:pPr>
        <w:numPr>
          <w:ilvl w:val="0"/>
          <w:numId w:val="23"/>
        </w:numPr>
        <w:spacing w:after="80" w:line="300" w:lineRule="auto"/>
      </w:pPr>
      <w:r>
        <w:rPr>
          <w:rFonts w:ascii="Calibri" w:hAnsi="Calibri"/>
          <w:color w:val="455B74"/>
        </w:rPr>
        <w:t>Decision owner.</w:t>
      </w:r>
    </w:p>
    <w:p>
      <w:pPr>
        <w:numPr>
          <w:ilvl w:val="0"/>
          <w:numId w:val="23"/>
        </w:numPr>
        <w:spacing w:after="80" w:line="300" w:lineRule="auto"/>
      </w:pPr>
      <w:r>
        <w:rPr>
          <w:rFonts w:ascii="Calibri" w:hAnsi="Calibri"/>
          <w:color w:val="455B74"/>
        </w:rPr>
        <w:t>Follow-up and deadline.</w:t>
      </w:r>
    </w:p>
    <w:p>
      <w:pPr>
        <w:keepNext/>
        <w:spacing w:before="240" w:after="80"/>
      </w:pPr>
      <w:r>
        <w:rPr>
          <w:rFonts w:ascii="Calibri" w:hAnsi="Calibri"/>
          <w:color w:val="455B74"/>
        </w:rPr>
        <w:t>Use the accompanying Atlas evaluation scorecard at:</w:t>
      </w:r>
    </w:p>
    <w:p>
      <w:pPr>
        <w:spacing w:before="0" w:after="0"/>
      </w:pPr>
      <w:hyperlink r:id="rId11">
        <w:r>
          <w:rPr>
            <w:color w:val="315F8F"/>
            <w:u w:val="single"/>
          </w:rPr>
          <w:t>Open the Atlas evaluation scorecard guide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  <w:spacing w:before="0" w:after="0"/>
    </w:pPr>
    <w:r>
      <w:rPr>
        <w:rFonts w:ascii="Calibri" w:hAnsi="Calibri"/>
        <w:color w:val="687C93"/>
        <w:sz w:val="17"/>
      </w:rPr>
      <w:t>atlas.pimlicosolutions.com</w:t>
    </w:r>
    <w:r>
      <w:tab/>
      <w:tab/>
      <w:t xml:space="preserve">Page </w:t>
    </w:r>
    <w:r>
      <w:rPr>
        <w:rFonts w:ascii="Calibri" w:hAnsi="Calibri"/>
        <w:color w:val="687C93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spacing w:after="0"/>
      <w:jc w:val="left"/>
    </w:pPr>
    <w:r>
      <w:rPr>
        <w:rFonts w:ascii="Calibri" w:hAnsi="Calibri"/>
        <w:b/>
        <w:color w:val="315F8F"/>
        <w:sz w:val="17"/>
      </w:rPr>
      <w:t>ATLAS BY PIMLICO</w:t>
    </w:r>
    <w:r>
      <w:tab/>
      <w:tab/>
    </w:r>
    <w:r>
      <w:rPr>
        <w:rFonts w:ascii="Calibri" w:hAnsi="Calibri"/>
        <w:b/>
        <w:color w:val="687C93"/>
        <w:sz w:val="17"/>
      </w:rPr>
      <w:t>BUYER PROCUREMENT TOOL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</w:lvl>
  </w:abstractNum>
  <w:abstractNum w:abstractNumId="10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  <w:rPr>
        <w:rFonts w:ascii="Calibri" w:hAnsi="Calibri"/>
      </w:rPr>
    </w:lvl>
  </w:abstractNum>
  <w:num w:numId="10">
    <w:abstractNumId w:val="9"/>
    <w:lvlOverride w:ilvl="0">
      <w:startOverride w:val="1"/>
    </w:lvlOverride>
  </w:num>
  <w:num w:numId="11">
    <w:abstractNumId w:val="9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10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9"/>
    <w:lvlOverride w:ilvl="0">
      <w:startOverride w:val="1"/>
    </w:lvlOverride>
  </w:num>
  <w:num w:numId="16">
    <w:abstractNumId w:val="9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9"/>
    <w:lvlOverride w:ilvl="0">
      <w:startOverride w:val="1"/>
    </w:lvlOverride>
  </w:num>
  <w:num w:numId="20">
    <w:abstractNumId w:val="9"/>
    <w:lvlOverride w:ilvl="0">
      <w:startOverride w:val="1"/>
    </w:lvlOverride>
  </w:num>
  <w:num w:numId="21">
    <w:abstractNumId w:val="10"/>
    <w:lvlOverride w:ilvl="0">
      <w:startOverride w:val="1"/>
    </w:lvlOverride>
  </w:num>
  <w:num w:numId="22">
    <w:abstractNumId w:val="9"/>
    <w:lvlOverride w:ilvl="0">
      <w:startOverride w:val="1"/>
    </w:lvlOverride>
  </w:num>
  <w:num w:numId="23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455B7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6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315F8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6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315F8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64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244F7C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71426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tlasKicker">
    <w:name w:val="Atlas Kicker"/>
    <w:basedOn w:val="Normal"/>
    <w:pPr>
      <w:keepNext/>
      <w:spacing w:before="0" w:after="80"/>
    </w:pPr>
    <w:rPr>
      <w:rFonts w:ascii="Calibri" w:hAnsi="Calibri"/>
      <w:b/>
      <w:color w:val="315F8F"/>
      <w:sz w:val="18"/>
    </w:rPr>
  </w:style>
  <w:style w:type="paragraph" w:customStyle="1" w:styleId="AtlasLead">
    <w:name w:val="Atlas Lead"/>
    <w:basedOn w:val="Normal"/>
    <w:pPr>
      <w:spacing w:before="0" w:after="280" w:line="300" w:lineRule="auto"/>
    </w:pPr>
    <w:rPr>
      <w:rFonts w:ascii="Calibri" w:hAnsi="Calibri"/>
      <w:color w:val="0B1738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atlas.pimlicosolutions.com/guides/gambling-compliance-platform-evaluation-scorec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software RFP template for gambling</dc:title>
  <dc:subject>Editable gambling compliance software procurement template</dc:subject>
  <dc:creator>Atlas by Pimlico</dc:creator>
  <cp:keywords>compliance software RFP template, gambling compliance, procurement, vendor evaluation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